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28" w:rsidRPr="009C4DC6" w:rsidRDefault="00747028" w:rsidP="007B0BFA">
      <w:pPr>
        <w:spacing w:after="240" w:line="240" w:lineRule="auto"/>
        <w:jc w:val="center"/>
        <w:rPr>
          <w:b/>
          <w:sz w:val="28"/>
          <w:szCs w:val="28"/>
          <w:lang w:val="en-US"/>
        </w:rPr>
      </w:pPr>
      <w:r w:rsidRPr="009C4DC6">
        <w:rPr>
          <w:b/>
          <w:sz w:val="28"/>
          <w:szCs w:val="28"/>
          <w:lang w:val="en-US"/>
        </w:rPr>
        <w:t>Rationale for the Proposed Net Earnings Distribution Arrangements.</w:t>
      </w:r>
    </w:p>
    <w:p w:rsidR="00507BFC" w:rsidRPr="009C4DC6" w:rsidRDefault="00747028" w:rsidP="006853CA">
      <w:pPr>
        <w:spacing w:after="120" w:line="240" w:lineRule="auto"/>
        <w:jc w:val="both"/>
        <w:rPr>
          <w:sz w:val="28"/>
          <w:szCs w:val="28"/>
          <w:lang w:val="en-US"/>
        </w:rPr>
      </w:pPr>
      <w:r w:rsidRPr="009C4DC6">
        <w:rPr>
          <w:sz w:val="28"/>
          <w:szCs w:val="28"/>
          <w:lang w:val="en-US"/>
        </w:rPr>
        <w:t xml:space="preserve">The Company distributes its net earnings </w:t>
      </w:r>
      <w:r w:rsidR="007B0BFA">
        <w:rPr>
          <w:sz w:val="28"/>
          <w:szCs w:val="28"/>
          <w:lang w:val="en-US"/>
        </w:rPr>
        <w:t xml:space="preserve">for 2017 </w:t>
      </w:r>
      <w:r w:rsidRPr="009C4DC6">
        <w:rPr>
          <w:sz w:val="28"/>
          <w:szCs w:val="28"/>
          <w:lang w:val="en-US"/>
        </w:rPr>
        <w:t>primarily based on the following national and corporate regulations:</w:t>
      </w:r>
    </w:p>
    <w:p w:rsidR="00747028" w:rsidRPr="009C4DC6" w:rsidRDefault="00747028" w:rsidP="006853CA">
      <w:pPr>
        <w:pStyle w:val="a3"/>
        <w:numPr>
          <w:ilvl w:val="0"/>
          <w:numId w:val="1"/>
        </w:numPr>
        <w:spacing w:after="0" w:line="240" w:lineRule="auto"/>
        <w:ind w:left="567" w:hanging="567"/>
        <w:jc w:val="both"/>
        <w:rPr>
          <w:sz w:val="28"/>
          <w:szCs w:val="28"/>
          <w:lang w:val="en-US"/>
        </w:rPr>
      </w:pPr>
      <w:r w:rsidRPr="009C4DC6">
        <w:rPr>
          <w:sz w:val="28"/>
          <w:szCs w:val="28"/>
          <w:lang w:val="en-US"/>
        </w:rPr>
        <w:t>Government Executive Order No. 1094-r of May 29, 2017;</w:t>
      </w:r>
    </w:p>
    <w:p w:rsidR="00747028" w:rsidRPr="009C4DC6" w:rsidRDefault="00747028" w:rsidP="006853CA">
      <w:pPr>
        <w:pStyle w:val="a3"/>
        <w:numPr>
          <w:ilvl w:val="0"/>
          <w:numId w:val="1"/>
        </w:numPr>
        <w:spacing w:after="0" w:line="240" w:lineRule="auto"/>
        <w:ind w:left="567" w:hanging="567"/>
        <w:jc w:val="both"/>
        <w:rPr>
          <w:sz w:val="28"/>
          <w:szCs w:val="28"/>
          <w:lang w:val="en-US"/>
        </w:rPr>
      </w:pPr>
      <w:r w:rsidRPr="009C4DC6">
        <w:rPr>
          <w:sz w:val="28"/>
          <w:szCs w:val="28"/>
          <w:lang w:val="en-US"/>
        </w:rPr>
        <w:t xml:space="preserve">Federal Law No. 208-FZ </w:t>
      </w:r>
      <w:r w:rsidRPr="009C4DC6">
        <w:rPr>
          <w:i/>
          <w:sz w:val="28"/>
          <w:szCs w:val="28"/>
          <w:lang w:val="en-US"/>
        </w:rPr>
        <w:t>On Joint Stock Companies</w:t>
      </w:r>
      <w:r w:rsidRPr="009C4DC6">
        <w:rPr>
          <w:sz w:val="28"/>
          <w:szCs w:val="28"/>
          <w:lang w:val="en-US"/>
        </w:rPr>
        <w:t xml:space="preserve"> of December 26, 1995</w:t>
      </w:r>
      <w:r w:rsidR="00F14345" w:rsidRPr="009C4DC6">
        <w:rPr>
          <w:sz w:val="28"/>
          <w:szCs w:val="28"/>
          <w:lang w:val="en-US"/>
        </w:rPr>
        <w:t>;</w:t>
      </w:r>
    </w:p>
    <w:p w:rsidR="00F14345" w:rsidRDefault="00F14345" w:rsidP="007B0BFA">
      <w:pPr>
        <w:pStyle w:val="a3"/>
        <w:numPr>
          <w:ilvl w:val="0"/>
          <w:numId w:val="1"/>
        </w:numPr>
        <w:spacing w:after="0" w:line="240" w:lineRule="auto"/>
        <w:ind w:left="567" w:hanging="567"/>
        <w:contextualSpacing w:val="0"/>
        <w:jc w:val="both"/>
        <w:rPr>
          <w:sz w:val="28"/>
          <w:szCs w:val="28"/>
          <w:lang w:val="en-US"/>
        </w:rPr>
      </w:pPr>
      <w:r w:rsidRPr="009C4DC6">
        <w:rPr>
          <w:sz w:val="28"/>
          <w:szCs w:val="28"/>
          <w:lang w:val="en-US"/>
        </w:rPr>
        <w:t>Dividend Policy of PJSC “Lenenergo” that replaces the version approved by the Board of Directors of PJSC “Lenenergo” on August 31, 2010 (Minutes No. 4 of August 31, 2010);</w:t>
      </w:r>
    </w:p>
    <w:p w:rsidR="007B0BFA" w:rsidRPr="009C4DC6" w:rsidRDefault="007B0BFA" w:rsidP="007B0BFA">
      <w:pPr>
        <w:pStyle w:val="a3"/>
        <w:numPr>
          <w:ilvl w:val="0"/>
          <w:numId w:val="1"/>
        </w:numPr>
        <w:spacing w:after="120" w:line="240" w:lineRule="auto"/>
        <w:ind w:left="567" w:hanging="567"/>
        <w:contextualSpacing w:val="0"/>
        <w:jc w:val="both"/>
        <w:rPr>
          <w:sz w:val="28"/>
          <w:szCs w:val="28"/>
          <w:lang w:val="en-US"/>
        </w:rPr>
      </w:pPr>
      <w:r>
        <w:rPr>
          <w:sz w:val="28"/>
          <w:szCs w:val="28"/>
          <w:lang w:val="en-US"/>
        </w:rPr>
        <w:t xml:space="preserve">Articles of Association of </w:t>
      </w:r>
      <w:r w:rsidRPr="009C4DC6">
        <w:rPr>
          <w:sz w:val="28"/>
          <w:szCs w:val="28"/>
          <w:lang w:val="en-US"/>
        </w:rPr>
        <w:t>PJSC “Lenenergo”</w:t>
      </w:r>
      <w:r>
        <w:rPr>
          <w:sz w:val="28"/>
          <w:szCs w:val="28"/>
          <w:lang w:val="en-US"/>
        </w:rPr>
        <w:t xml:space="preserve"> approved by the General Meeting of </w:t>
      </w:r>
      <w:r w:rsidRPr="009C4DC6">
        <w:rPr>
          <w:sz w:val="28"/>
          <w:szCs w:val="28"/>
          <w:lang w:val="en-US"/>
        </w:rPr>
        <w:t>PJSC “Lenenergo</w:t>
      </w:r>
      <w:r>
        <w:rPr>
          <w:sz w:val="28"/>
          <w:szCs w:val="28"/>
          <w:lang w:val="en-US"/>
        </w:rPr>
        <w:t>” on June 14, 2017 (Minutes No. 1/2017 of June 14, 2017).</w:t>
      </w:r>
    </w:p>
    <w:p w:rsidR="007708B7" w:rsidRPr="009C4DC6" w:rsidRDefault="007708B7" w:rsidP="007708B7">
      <w:pPr>
        <w:spacing w:after="120" w:line="240" w:lineRule="auto"/>
        <w:jc w:val="both"/>
        <w:rPr>
          <w:sz w:val="28"/>
          <w:szCs w:val="28"/>
          <w:lang w:val="en-US"/>
        </w:rPr>
      </w:pPr>
      <w:r>
        <w:rPr>
          <w:sz w:val="28"/>
          <w:szCs w:val="28"/>
          <w:lang w:val="en-US"/>
        </w:rPr>
        <w:t>Since the</w:t>
      </w:r>
      <w:r w:rsidRPr="009C4DC6">
        <w:rPr>
          <w:sz w:val="28"/>
          <w:szCs w:val="28"/>
          <w:lang w:val="en-US"/>
        </w:rPr>
        <w:t xml:space="preserve"> Dividend Policy of PJSC “Lenenergo”</w:t>
      </w:r>
      <w:r>
        <w:rPr>
          <w:sz w:val="28"/>
          <w:szCs w:val="28"/>
          <w:lang w:val="en-US"/>
        </w:rPr>
        <w:t xml:space="preserve"> does not specify which portion of the Company’s net earnings is to be paid out as dividends</w:t>
      </w:r>
      <w:r w:rsidRPr="009C4DC6">
        <w:rPr>
          <w:sz w:val="28"/>
          <w:szCs w:val="28"/>
          <w:lang w:val="en-US"/>
        </w:rPr>
        <w:t xml:space="preserve">, the payouts were calculated </w:t>
      </w:r>
      <w:r>
        <w:rPr>
          <w:sz w:val="28"/>
          <w:szCs w:val="28"/>
          <w:lang w:val="en-US"/>
        </w:rPr>
        <w:t xml:space="preserve">based on following requirements prescribed by the </w:t>
      </w:r>
      <w:r w:rsidRPr="009C4DC6">
        <w:rPr>
          <w:sz w:val="28"/>
          <w:szCs w:val="28"/>
          <w:lang w:val="en-US"/>
        </w:rPr>
        <w:t>Government Executive Order No. 1094-r of May 29, 2017:</w:t>
      </w:r>
    </w:p>
    <w:p w:rsidR="007708B7" w:rsidRPr="007708B7" w:rsidRDefault="007708B7" w:rsidP="007708B7">
      <w:pPr>
        <w:pStyle w:val="a3"/>
        <w:numPr>
          <w:ilvl w:val="0"/>
          <w:numId w:val="3"/>
        </w:numPr>
        <w:spacing w:after="120" w:line="240" w:lineRule="auto"/>
        <w:jc w:val="both"/>
        <w:rPr>
          <w:sz w:val="28"/>
          <w:szCs w:val="28"/>
          <w:lang w:val="en-US"/>
        </w:rPr>
      </w:pPr>
      <w:r w:rsidRPr="007708B7">
        <w:rPr>
          <w:sz w:val="28"/>
          <w:szCs w:val="28"/>
          <w:lang w:val="en-US"/>
        </w:rPr>
        <w:t>The net earnings to be paid out as dividends will be fifty or more percent (≥50%) of a company’s net earnings calculated based on its IFRS financial statements, including the consolidated figures.</w:t>
      </w:r>
    </w:p>
    <w:p w:rsidR="007708B7" w:rsidRPr="007708B7" w:rsidRDefault="007708B7" w:rsidP="007708B7">
      <w:pPr>
        <w:pStyle w:val="a3"/>
        <w:numPr>
          <w:ilvl w:val="0"/>
          <w:numId w:val="3"/>
        </w:numPr>
        <w:spacing w:after="0" w:line="240" w:lineRule="auto"/>
        <w:jc w:val="both"/>
        <w:rPr>
          <w:sz w:val="28"/>
          <w:szCs w:val="28"/>
          <w:lang w:val="en-US"/>
        </w:rPr>
      </w:pPr>
      <w:r w:rsidRPr="007708B7">
        <w:rPr>
          <w:sz w:val="28"/>
          <w:szCs w:val="28"/>
          <w:lang w:val="en-US"/>
        </w:rPr>
        <w:t>For the purposes of clause a) above, the following amounts are not included into the calculation of the net earnings:</w:t>
      </w:r>
    </w:p>
    <w:p w:rsidR="007708B7" w:rsidRPr="009C4DC6" w:rsidRDefault="007708B7" w:rsidP="007708B7">
      <w:pPr>
        <w:spacing w:after="0" w:line="240" w:lineRule="auto"/>
        <w:jc w:val="both"/>
        <w:rPr>
          <w:sz w:val="28"/>
          <w:szCs w:val="28"/>
          <w:lang w:val="en-US"/>
        </w:rPr>
      </w:pPr>
      <w:r>
        <w:rPr>
          <w:sz w:val="28"/>
          <w:szCs w:val="28"/>
          <w:lang w:val="en-US"/>
        </w:rPr>
        <w:t xml:space="preserve">- </w:t>
      </w:r>
      <w:r w:rsidRPr="009C4DC6">
        <w:rPr>
          <w:sz w:val="28"/>
          <w:szCs w:val="28"/>
          <w:lang w:val="en-US"/>
        </w:rPr>
        <w:t>Exchange-traded equity revaluation profit/loss;</w:t>
      </w:r>
    </w:p>
    <w:p w:rsidR="007708B7" w:rsidRPr="009C4DC6" w:rsidRDefault="007708B7" w:rsidP="007708B7">
      <w:pPr>
        <w:spacing w:after="0" w:line="240" w:lineRule="auto"/>
        <w:jc w:val="both"/>
        <w:rPr>
          <w:sz w:val="28"/>
          <w:szCs w:val="28"/>
          <w:lang w:val="en-US"/>
        </w:rPr>
      </w:pPr>
      <w:r>
        <w:rPr>
          <w:sz w:val="28"/>
          <w:szCs w:val="28"/>
          <w:lang w:val="en-US"/>
        </w:rPr>
        <w:t xml:space="preserve">- </w:t>
      </w:r>
      <w:r w:rsidRPr="009C4DC6">
        <w:rPr>
          <w:sz w:val="28"/>
          <w:szCs w:val="28"/>
          <w:lang w:val="en-US"/>
        </w:rPr>
        <w:t>Actual investments out of net profit from the regulated activities disbursed under the programs approved by the Russian Ministry of Energy;</w:t>
      </w:r>
    </w:p>
    <w:p w:rsidR="007708B7" w:rsidRPr="009C4DC6" w:rsidRDefault="007708B7" w:rsidP="007708B7">
      <w:pPr>
        <w:spacing w:after="0" w:line="240" w:lineRule="auto"/>
        <w:jc w:val="both"/>
        <w:rPr>
          <w:sz w:val="28"/>
          <w:szCs w:val="28"/>
          <w:lang w:val="en-US"/>
        </w:rPr>
      </w:pPr>
      <w:r>
        <w:rPr>
          <w:sz w:val="28"/>
          <w:szCs w:val="28"/>
          <w:lang w:val="en-US"/>
        </w:rPr>
        <w:t xml:space="preserve">- </w:t>
      </w:r>
      <w:r w:rsidRPr="009C4DC6">
        <w:rPr>
          <w:sz w:val="28"/>
          <w:szCs w:val="28"/>
          <w:lang w:val="en-US"/>
        </w:rPr>
        <w:t>Portion of the net earnings from grid connection operations other than cash actually received in the reporting period.</w:t>
      </w:r>
    </w:p>
    <w:p w:rsidR="007708B7" w:rsidRPr="009C4DC6" w:rsidRDefault="007708B7" w:rsidP="00267388">
      <w:pPr>
        <w:spacing w:before="120" w:after="0" w:line="240" w:lineRule="auto"/>
        <w:jc w:val="both"/>
        <w:rPr>
          <w:sz w:val="28"/>
          <w:szCs w:val="28"/>
          <w:lang w:val="en-US"/>
        </w:rPr>
      </w:pPr>
      <w:r w:rsidRPr="009C4DC6">
        <w:rPr>
          <w:sz w:val="28"/>
          <w:szCs w:val="28"/>
          <w:lang w:val="en-US"/>
        </w:rPr>
        <w:t>For the purposes of calculating the portion of the net earnings to be paid out as dividends the following amounts are excluded:</w:t>
      </w:r>
    </w:p>
    <w:p w:rsidR="007708B7" w:rsidRDefault="007708B7" w:rsidP="007708B7">
      <w:pPr>
        <w:pStyle w:val="a3"/>
        <w:numPr>
          <w:ilvl w:val="0"/>
          <w:numId w:val="1"/>
        </w:numPr>
        <w:spacing w:after="0" w:line="240" w:lineRule="auto"/>
        <w:ind w:left="567" w:hanging="567"/>
        <w:contextualSpacing w:val="0"/>
        <w:jc w:val="both"/>
        <w:rPr>
          <w:sz w:val="28"/>
          <w:szCs w:val="28"/>
          <w:lang w:val="en-US"/>
        </w:rPr>
      </w:pPr>
      <w:r w:rsidRPr="009C4DC6">
        <w:rPr>
          <w:sz w:val="28"/>
          <w:szCs w:val="28"/>
          <w:lang w:val="en-US"/>
        </w:rPr>
        <w:t>Net power distribution earnings used to finance investments;</w:t>
      </w:r>
    </w:p>
    <w:p w:rsidR="007708B7" w:rsidRPr="005B6394" w:rsidRDefault="007708B7" w:rsidP="00267388">
      <w:pPr>
        <w:pStyle w:val="a3"/>
        <w:numPr>
          <w:ilvl w:val="0"/>
          <w:numId w:val="1"/>
        </w:numPr>
        <w:spacing w:after="120" w:line="240" w:lineRule="auto"/>
        <w:ind w:left="567" w:hanging="567"/>
        <w:contextualSpacing w:val="0"/>
        <w:jc w:val="both"/>
        <w:rPr>
          <w:sz w:val="28"/>
          <w:szCs w:val="28"/>
          <w:lang w:val="en-US"/>
        </w:rPr>
      </w:pPr>
      <w:r w:rsidRPr="005B6394">
        <w:rPr>
          <w:sz w:val="28"/>
          <w:szCs w:val="28"/>
          <w:lang w:val="en-US"/>
        </w:rPr>
        <w:t>Cash inflow from the grid connection operations of subsidiaries and affiliates that does not affect a stronger cash flow for the Group.</w:t>
      </w:r>
    </w:p>
    <w:p w:rsidR="00F14345" w:rsidRPr="009C4DC6" w:rsidRDefault="007708B7" w:rsidP="006853CA">
      <w:pPr>
        <w:spacing w:after="120" w:line="240" w:lineRule="auto"/>
        <w:jc w:val="both"/>
        <w:rPr>
          <w:sz w:val="28"/>
          <w:szCs w:val="28"/>
          <w:lang w:val="en-US"/>
        </w:rPr>
      </w:pPr>
      <w:r>
        <w:rPr>
          <w:sz w:val="28"/>
          <w:szCs w:val="28"/>
          <w:lang w:val="en-US"/>
        </w:rPr>
        <w:t>After 2017, t</w:t>
      </w:r>
      <w:r w:rsidR="00F14345" w:rsidRPr="009C4DC6">
        <w:rPr>
          <w:sz w:val="28"/>
          <w:szCs w:val="28"/>
          <w:lang w:val="en-US"/>
        </w:rPr>
        <w:t xml:space="preserve">he Company’s net earnings </w:t>
      </w:r>
      <w:r>
        <w:rPr>
          <w:sz w:val="28"/>
          <w:szCs w:val="28"/>
          <w:lang w:val="en-US"/>
        </w:rPr>
        <w:t>were</w:t>
      </w:r>
      <w:r w:rsidR="00F14345" w:rsidRPr="009C4DC6">
        <w:rPr>
          <w:sz w:val="28"/>
          <w:szCs w:val="28"/>
          <w:lang w:val="en-US"/>
        </w:rPr>
        <w:t xml:space="preserve"> RUB 1</w:t>
      </w:r>
      <w:r>
        <w:rPr>
          <w:sz w:val="28"/>
          <w:szCs w:val="28"/>
          <w:lang w:val="en-US"/>
        </w:rPr>
        <w:t>2</w:t>
      </w:r>
      <w:r w:rsidR="00F14345" w:rsidRPr="009C4DC6">
        <w:rPr>
          <w:sz w:val="28"/>
          <w:szCs w:val="28"/>
          <w:lang w:val="en-US"/>
        </w:rPr>
        <w:t>,</w:t>
      </w:r>
      <w:r>
        <w:rPr>
          <w:sz w:val="28"/>
          <w:szCs w:val="28"/>
          <w:lang w:val="en-US"/>
        </w:rPr>
        <w:t>560,998,000.</w:t>
      </w:r>
    </w:p>
    <w:p w:rsidR="00F14345" w:rsidRDefault="00F14345" w:rsidP="006853CA">
      <w:pPr>
        <w:spacing w:after="120" w:line="240" w:lineRule="auto"/>
        <w:jc w:val="both"/>
        <w:rPr>
          <w:sz w:val="28"/>
          <w:szCs w:val="28"/>
          <w:lang w:val="en-US"/>
        </w:rPr>
      </w:pPr>
      <w:r w:rsidRPr="009C4DC6">
        <w:rPr>
          <w:sz w:val="28"/>
          <w:szCs w:val="28"/>
          <w:lang w:val="en-US"/>
        </w:rPr>
        <w:t>At December 31, 201</w:t>
      </w:r>
      <w:r w:rsidR="007708B7">
        <w:rPr>
          <w:sz w:val="28"/>
          <w:szCs w:val="28"/>
          <w:lang w:val="en-US"/>
        </w:rPr>
        <w:t>7</w:t>
      </w:r>
      <w:r w:rsidRPr="009C4DC6">
        <w:rPr>
          <w:sz w:val="28"/>
          <w:szCs w:val="28"/>
          <w:lang w:val="en-US"/>
        </w:rPr>
        <w:t>, the Company’s reserves were RUB </w:t>
      </w:r>
      <w:r w:rsidR="007708B7">
        <w:rPr>
          <w:sz w:val="28"/>
          <w:szCs w:val="28"/>
          <w:lang w:val="en-US"/>
        </w:rPr>
        <w:t>562,315,000</w:t>
      </w:r>
      <w:r w:rsidRPr="009C4DC6">
        <w:rPr>
          <w:sz w:val="28"/>
          <w:szCs w:val="28"/>
          <w:lang w:val="en-US"/>
        </w:rPr>
        <w:t xml:space="preserve"> (</w:t>
      </w:r>
      <w:r w:rsidR="007708B7">
        <w:rPr>
          <w:sz w:val="28"/>
          <w:szCs w:val="28"/>
          <w:lang w:val="en-US"/>
        </w:rPr>
        <w:t>6.5</w:t>
      </w:r>
      <w:r w:rsidRPr="009C4DC6">
        <w:rPr>
          <w:sz w:val="28"/>
          <w:szCs w:val="28"/>
          <w:lang w:val="en-US"/>
        </w:rPr>
        <w:t>% of the Company’s authorized capital) as of the date of the proposal regarding the distribution of the Company’s net profit after 20</w:t>
      </w:r>
      <w:bookmarkStart w:id="0" w:name="_GoBack"/>
      <w:bookmarkEnd w:id="0"/>
      <w:r w:rsidRPr="00EF4A10">
        <w:rPr>
          <w:sz w:val="28"/>
          <w:szCs w:val="28"/>
          <w:lang w:val="en-US"/>
        </w:rPr>
        <w:t>1</w:t>
      </w:r>
      <w:r w:rsidR="007708B7" w:rsidRPr="00EF4A10">
        <w:rPr>
          <w:sz w:val="28"/>
          <w:szCs w:val="28"/>
          <w:lang w:val="en-US"/>
        </w:rPr>
        <w:t>7</w:t>
      </w:r>
      <w:r w:rsidR="00AE1AEE" w:rsidRPr="00EF4A10">
        <w:rPr>
          <w:sz w:val="28"/>
          <w:szCs w:val="28"/>
          <w:lang w:val="en-US"/>
        </w:rPr>
        <w:t xml:space="preserve">, </w:t>
      </w:r>
      <w:r w:rsidR="00267388" w:rsidRPr="00EF4A10">
        <w:rPr>
          <w:sz w:val="28"/>
          <w:szCs w:val="28"/>
          <w:lang w:val="en-US"/>
        </w:rPr>
        <w:t>which is below fifteen percent (15%) of the Company’s authorized capital</w:t>
      </w:r>
      <w:r w:rsidR="00AE1AEE" w:rsidRPr="00EF4A10">
        <w:rPr>
          <w:sz w:val="28"/>
          <w:szCs w:val="28"/>
        </w:rPr>
        <w:t>.</w:t>
      </w:r>
      <w:r w:rsidRPr="00EF4A10">
        <w:rPr>
          <w:sz w:val="28"/>
          <w:szCs w:val="28"/>
          <w:lang w:val="en-US"/>
        </w:rPr>
        <w:t xml:space="preserve"> </w:t>
      </w:r>
      <w:r w:rsidR="007708B7" w:rsidRPr="00EF4A10">
        <w:rPr>
          <w:sz w:val="28"/>
          <w:szCs w:val="28"/>
          <w:lang w:val="en-US"/>
        </w:rPr>
        <w:t>In</w:t>
      </w:r>
      <w:r w:rsidR="007708B7">
        <w:rPr>
          <w:sz w:val="28"/>
          <w:szCs w:val="28"/>
          <w:lang w:val="en-US"/>
        </w:rPr>
        <w:t xml:space="preserve"> accordance with </w:t>
      </w:r>
      <w:r w:rsidRPr="009C4DC6">
        <w:rPr>
          <w:sz w:val="28"/>
          <w:szCs w:val="28"/>
          <w:lang w:val="en-US"/>
        </w:rPr>
        <w:t xml:space="preserve">the Articles of Association of the Company (Clause 8.1), at least five percent (5%) of the Company’s net earnings will be transferred into reserves until the reserves have reached the prescribed </w:t>
      </w:r>
      <w:r w:rsidR="007708B7">
        <w:rPr>
          <w:sz w:val="28"/>
          <w:szCs w:val="28"/>
          <w:lang w:val="en-US"/>
        </w:rPr>
        <w:t>level</w:t>
      </w:r>
      <w:r w:rsidRPr="009C4DC6">
        <w:rPr>
          <w:sz w:val="28"/>
          <w:szCs w:val="28"/>
          <w:lang w:val="en-US"/>
        </w:rPr>
        <w:t>.</w:t>
      </w:r>
    </w:p>
    <w:p w:rsidR="00043777" w:rsidRDefault="00043777" w:rsidP="00043777">
      <w:pPr>
        <w:spacing w:after="120" w:line="240" w:lineRule="auto"/>
        <w:jc w:val="both"/>
        <w:rPr>
          <w:sz w:val="28"/>
          <w:szCs w:val="28"/>
          <w:lang w:val="en-US"/>
        </w:rPr>
      </w:pPr>
      <w:r>
        <w:rPr>
          <w:sz w:val="28"/>
          <w:szCs w:val="28"/>
          <w:lang w:val="en-US"/>
        </w:rPr>
        <w:t>Today, the Company’s profits are to be spent on financing its investment program aimed at enabling an uninterrupted and reliable supply of high quality electricity to consumers, meeting the growing demand for electric power and capacity.</w:t>
      </w:r>
    </w:p>
    <w:p w:rsidR="006853CA" w:rsidRDefault="00043777" w:rsidP="00043777">
      <w:pPr>
        <w:spacing w:after="120" w:line="240" w:lineRule="auto"/>
        <w:jc w:val="both"/>
        <w:rPr>
          <w:sz w:val="28"/>
          <w:szCs w:val="28"/>
          <w:lang w:val="en-US"/>
        </w:rPr>
      </w:pPr>
      <w:r>
        <w:rPr>
          <w:sz w:val="28"/>
          <w:szCs w:val="28"/>
          <w:lang w:val="en-US"/>
        </w:rPr>
        <w:lastRenderedPageBreak/>
        <w:t>Therefore, five percent (5%) of the Company’s RAS net earnings for 2017 will be transferred to reserves as required by</w:t>
      </w:r>
      <w:r w:rsidR="007708B7" w:rsidRPr="00043777">
        <w:rPr>
          <w:sz w:val="28"/>
          <w:szCs w:val="28"/>
          <w:lang w:val="en-US"/>
        </w:rPr>
        <w:t xml:space="preserve"> Federal Law No. 208-FZ </w:t>
      </w:r>
      <w:r w:rsidR="007708B7" w:rsidRPr="00043777">
        <w:rPr>
          <w:i/>
          <w:sz w:val="28"/>
          <w:szCs w:val="28"/>
          <w:lang w:val="en-US"/>
        </w:rPr>
        <w:t>On Joint Stock Companies</w:t>
      </w:r>
      <w:r w:rsidR="007708B7" w:rsidRPr="00043777">
        <w:rPr>
          <w:sz w:val="28"/>
          <w:szCs w:val="28"/>
          <w:lang w:val="en-US"/>
        </w:rPr>
        <w:t xml:space="preserve"> of December 26, 1995 (</w:t>
      </w:r>
      <w:r>
        <w:rPr>
          <w:sz w:val="28"/>
          <w:szCs w:val="28"/>
          <w:lang w:val="en-US"/>
        </w:rPr>
        <w:t xml:space="preserve">version of March 07, 2018, </w:t>
      </w:r>
      <w:r w:rsidR="007708B7" w:rsidRPr="00043777">
        <w:rPr>
          <w:sz w:val="28"/>
          <w:szCs w:val="28"/>
          <w:lang w:val="en-US"/>
        </w:rPr>
        <w:t>Article 35)</w:t>
      </w:r>
      <w:r>
        <w:rPr>
          <w:sz w:val="28"/>
          <w:szCs w:val="28"/>
          <w:lang w:val="en-US"/>
        </w:rPr>
        <w:t>.</w:t>
      </w:r>
    </w:p>
    <w:p w:rsidR="00043777" w:rsidRPr="00043777" w:rsidRDefault="00043777" w:rsidP="00043777">
      <w:pPr>
        <w:spacing w:after="240" w:line="240" w:lineRule="auto"/>
        <w:jc w:val="both"/>
        <w:rPr>
          <w:sz w:val="28"/>
          <w:szCs w:val="28"/>
          <w:lang w:val="en-US"/>
        </w:rPr>
      </w:pPr>
      <w:r>
        <w:rPr>
          <w:sz w:val="28"/>
          <w:szCs w:val="28"/>
          <w:lang w:val="en-US"/>
        </w:rPr>
        <w:t>In the next reporting periods, the Company will continue to transfer no less than five percent (5%) of its net earnings into reserves until they have reached fifteen percent (15%) of the Company’s authorized capital.</w:t>
      </w:r>
    </w:p>
    <w:p w:rsidR="006853CA" w:rsidRPr="009C4DC6" w:rsidRDefault="006853CA" w:rsidP="006853CA">
      <w:pPr>
        <w:spacing w:after="120" w:line="240" w:lineRule="auto"/>
        <w:jc w:val="both"/>
        <w:rPr>
          <w:sz w:val="28"/>
          <w:szCs w:val="28"/>
          <w:lang w:val="en-US"/>
        </w:rPr>
      </w:pPr>
      <w:r w:rsidRPr="009C4DC6">
        <w:rPr>
          <w:sz w:val="28"/>
          <w:szCs w:val="28"/>
          <w:lang w:val="en-US"/>
        </w:rPr>
        <w:t xml:space="preserve">In accordance with the Company’s Articles of Association (Clause 7.3, </w:t>
      </w:r>
      <w:r w:rsidRPr="009C4DC6">
        <w:rPr>
          <w:i/>
          <w:sz w:val="28"/>
          <w:szCs w:val="28"/>
          <w:lang w:val="en-US"/>
        </w:rPr>
        <w:t>Dividends</w:t>
      </w:r>
      <w:r w:rsidRPr="009C4DC6">
        <w:rPr>
          <w:sz w:val="28"/>
          <w:szCs w:val="28"/>
          <w:lang w:val="en-US"/>
        </w:rPr>
        <w:t xml:space="preserve">), the total dividend on a Company’s preference share will be ten percent (10%) of the Company’s net earnings for the last financial year divided by the </w:t>
      </w:r>
      <w:r w:rsidR="00832582" w:rsidRPr="009C4DC6">
        <w:rPr>
          <w:sz w:val="28"/>
          <w:szCs w:val="28"/>
          <w:lang w:val="en-US"/>
        </w:rPr>
        <w:t>number of class A preferred shares outstanding.</w:t>
      </w:r>
    </w:p>
    <w:p w:rsidR="00832582" w:rsidRPr="009C4DC6" w:rsidRDefault="00832582" w:rsidP="006853CA">
      <w:pPr>
        <w:spacing w:after="120" w:line="240" w:lineRule="auto"/>
        <w:jc w:val="both"/>
        <w:rPr>
          <w:sz w:val="28"/>
          <w:szCs w:val="28"/>
          <w:lang w:val="en-US"/>
        </w:rPr>
      </w:pPr>
      <w:r w:rsidRPr="009C4DC6">
        <w:rPr>
          <w:sz w:val="28"/>
          <w:szCs w:val="28"/>
          <w:lang w:val="en-US"/>
        </w:rPr>
        <w:t>The calculated amount of the preferred stock dividends</w:t>
      </w:r>
      <w:r w:rsidR="00043777">
        <w:rPr>
          <w:sz w:val="28"/>
          <w:szCs w:val="28"/>
          <w:lang w:val="en-US"/>
        </w:rPr>
        <w:t xml:space="preserve"> for 2017</w:t>
      </w:r>
      <w:r w:rsidRPr="009C4DC6">
        <w:rPr>
          <w:sz w:val="28"/>
          <w:szCs w:val="28"/>
          <w:lang w:val="en-US"/>
        </w:rPr>
        <w:t xml:space="preserve"> meets the requirements prescribed by the Articles of Association of PJSC “Lenenergo” (divided per share at RUB 1</w:t>
      </w:r>
      <w:r w:rsidR="00043777">
        <w:rPr>
          <w:sz w:val="28"/>
          <w:szCs w:val="28"/>
          <w:lang w:val="en-US"/>
        </w:rPr>
        <w:t>3</w:t>
      </w:r>
      <w:r w:rsidRPr="009C4DC6">
        <w:rPr>
          <w:sz w:val="28"/>
          <w:szCs w:val="28"/>
          <w:lang w:val="en-US"/>
        </w:rPr>
        <w:t>,</w:t>
      </w:r>
      <w:r w:rsidR="00043777">
        <w:rPr>
          <w:sz w:val="28"/>
          <w:szCs w:val="28"/>
          <w:lang w:val="en-US"/>
        </w:rPr>
        <w:t>4682</w:t>
      </w:r>
      <w:r w:rsidRPr="009C4DC6">
        <w:rPr>
          <w:sz w:val="28"/>
          <w:szCs w:val="28"/>
          <w:lang w:val="en-US"/>
        </w:rPr>
        <w:t>, payable in cash).</w:t>
      </w:r>
    </w:p>
    <w:p w:rsidR="00A10CB1" w:rsidRPr="009C4DC6" w:rsidRDefault="00A10CB1" w:rsidP="00A10CB1">
      <w:pPr>
        <w:spacing w:after="120" w:line="240" w:lineRule="auto"/>
        <w:jc w:val="right"/>
        <w:rPr>
          <w:sz w:val="28"/>
          <w:szCs w:val="28"/>
          <w:lang w:val="en-US"/>
        </w:rPr>
      </w:pPr>
      <w:r w:rsidRPr="009C4DC6">
        <w:rPr>
          <w:sz w:val="28"/>
          <w:szCs w:val="28"/>
          <w:lang w:val="en-US"/>
        </w:rPr>
        <w:t>RUB</w:t>
      </w:r>
    </w:p>
    <w:tbl>
      <w:tblPr>
        <w:tblStyle w:val="a4"/>
        <w:tblW w:w="0" w:type="auto"/>
        <w:tblLook w:val="04A0" w:firstRow="1" w:lastRow="0" w:firstColumn="1" w:lastColumn="0" w:noHBand="0" w:noVBand="1"/>
      </w:tblPr>
      <w:tblGrid>
        <w:gridCol w:w="5204"/>
        <w:gridCol w:w="1825"/>
        <w:gridCol w:w="2316"/>
      </w:tblGrid>
      <w:tr w:rsidR="00A10CB1" w:rsidRPr="009C4DC6" w:rsidTr="00A10CB1">
        <w:tc>
          <w:tcPr>
            <w:tcW w:w="5382" w:type="dxa"/>
          </w:tcPr>
          <w:p w:rsidR="00A10CB1" w:rsidRPr="009C4DC6" w:rsidRDefault="00A10CB1" w:rsidP="00A10CB1">
            <w:pPr>
              <w:spacing w:after="40" w:line="240" w:lineRule="auto"/>
              <w:jc w:val="both"/>
              <w:rPr>
                <w:sz w:val="28"/>
                <w:szCs w:val="28"/>
                <w:lang w:val="en-US"/>
              </w:rPr>
            </w:pPr>
            <w:r w:rsidRPr="009C4DC6">
              <w:rPr>
                <w:sz w:val="28"/>
                <w:szCs w:val="28"/>
                <w:lang w:val="en-US"/>
              </w:rPr>
              <w:t>Indicator</w:t>
            </w:r>
          </w:p>
        </w:tc>
        <w:tc>
          <w:tcPr>
            <w:tcW w:w="1843" w:type="dxa"/>
          </w:tcPr>
          <w:p w:rsidR="00A10CB1" w:rsidRPr="009C4DC6" w:rsidRDefault="00A10CB1" w:rsidP="00A10CB1">
            <w:pPr>
              <w:spacing w:after="40" w:line="240" w:lineRule="auto"/>
              <w:jc w:val="right"/>
              <w:rPr>
                <w:sz w:val="28"/>
                <w:szCs w:val="28"/>
                <w:lang w:val="en-US"/>
              </w:rPr>
            </w:pPr>
            <w:r w:rsidRPr="009C4DC6">
              <w:rPr>
                <w:sz w:val="28"/>
                <w:szCs w:val="28"/>
                <w:lang w:val="en-US"/>
              </w:rPr>
              <w:t xml:space="preserve">Order </w:t>
            </w:r>
          </w:p>
          <w:p w:rsidR="00A10CB1" w:rsidRPr="009C4DC6" w:rsidRDefault="00A10CB1" w:rsidP="00A10CB1">
            <w:pPr>
              <w:spacing w:after="40" w:line="240" w:lineRule="auto"/>
              <w:jc w:val="right"/>
              <w:rPr>
                <w:sz w:val="28"/>
                <w:szCs w:val="28"/>
                <w:lang w:val="en-US"/>
              </w:rPr>
            </w:pPr>
            <w:r w:rsidRPr="009C4DC6">
              <w:rPr>
                <w:sz w:val="28"/>
                <w:szCs w:val="28"/>
                <w:lang w:val="en-US"/>
              </w:rPr>
              <w:t>of calculation</w:t>
            </w:r>
          </w:p>
        </w:tc>
        <w:tc>
          <w:tcPr>
            <w:tcW w:w="2120" w:type="dxa"/>
          </w:tcPr>
          <w:p w:rsidR="00A10CB1" w:rsidRPr="009C4DC6" w:rsidRDefault="00A10CB1" w:rsidP="00A10CB1">
            <w:pPr>
              <w:spacing w:after="40" w:line="240" w:lineRule="auto"/>
              <w:jc w:val="right"/>
              <w:rPr>
                <w:sz w:val="28"/>
                <w:szCs w:val="28"/>
                <w:lang w:val="en-US"/>
              </w:rPr>
            </w:pPr>
            <w:r w:rsidRPr="009C4DC6">
              <w:rPr>
                <w:sz w:val="28"/>
                <w:szCs w:val="28"/>
                <w:lang w:val="en-US"/>
              </w:rPr>
              <w:t>Amount</w:t>
            </w:r>
          </w:p>
        </w:tc>
      </w:tr>
      <w:tr w:rsidR="00A10CB1" w:rsidRPr="009C4DC6" w:rsidTr="00A10CB1">
        <w:tc>
          <w:tcPr>
            <w:tcW w:w="5382" w:type="dxa"/>
          </w:tcPr>
          <w:p w:rsidR="00A10CB1" w:rsidRPr="009C4DC6" w:rsidRDefault="00A10CB1" w:rsidP="00A10CB1">
            <w:pPr>
              <w:spacing w:after="40" w:line="240" w:lineRule="auto"/>
              <w:jc w:val="both"/>
              <w:rPr>
                <w:sz w:val="28"/>
                <w:szCs w:val="28"/>
                <w:lang w:val="en-US"/>
              </w:rPr>
            </w:pPr>
            <w:r w:rsidRPr="009C4DC6">
              <w:rPr>
                <w:sz w:val="28"/>
                <w:szCs w:val="28"/>
                <w:lang w:val="en-US"/>
              </w:rPr>
              <w:t>Net earnings as stated in the Profit and Loss Statement</w:t>
            </w:r>
          </w:p>
        </w:tc>
        <w:tc>
          <w:tcPr>
            <w:tcW w:w="1843" w:type="dxa"/>
          </w:tcPr>
          <w:p w:rsidR="00A10CB1" w:rsidRPr="009C4DC6" w:rsidRDefault="00A10CB1" w:rsidP="00A10CB1">
            <w:pPr>
              <w:spacing w:after="40" w:line="240" w:lineRule="auto"/>
              <w:jc w:val="right"/>
              <w:rPr>
                <w:sz w:val="28"/>
                <w:szCs w:val="28"/>
                <w:lang w:val="en-US"/>
              </w:rPr>
            </w:pPr>
            <w:r w:rsidRPr="009C4DC6">
              <w:rPr>
                <w:sz w:val="28"/>
                <w:szCs w:val="28"/>
                <w:lang w:val="en-US"/>
              </w:rPr>
              <w:t>1</w:t>
            </w:r>
          </w:p>
        </w:tc>
        <w:tc>
          <w:tcPr>
            <w:tcW w:w="2120" w:type="dxa"/>
          </w:tcPr>
          <w:p w:rsidR="00A10CB1" w:rsidRPr="009C4DC6" w:rsidRDefault="00043777" w:rsidP="00A10CB1">
            <w:pPr>
              <w:spacing w:after="40" w:line="240" w:lineRule="auto"/>
              <w:jc w:val="right"/>
              <w:rPr>
                <w:sz w:val="28"/>
                <w:szCs w:val="28"/>
                <w:lang w:val="en-US"/>
              </w:rPr>
            </w:pPr>
            <w:r>
              <w:rPr>
                <w:sz w:val="28"/>
                <w:szCs w:val="28"/>
                <w:lang w:val="en-US"/>
              </w:rPr>
              <w:t>12,560,997,845.54</w:t>
            </w:r>
          </w:p>
        </w:tc>
      </w:tr>
      <w:tr w:rsidR="00A10CB1" w:rsidRPr="009C4DC6" w:rsidTr="00A10CB1">
        <w:tc>
          <w:tcPr>
            <w:tcW w:w="5382" w:type="dxa"/>
          </w:tcPr>
          <w:p w:rsidR="00A10CB1" w:rsidRPr="009C4DC6" w:rsidRDefault="00A10CB1" w:rsidP="00A10CB1">
            <w:pPr>
              <w:spacing w:after="40" w:line="240" w:lineRule="auto"/>
              <w:jc w:val="both"/>
              <w:rPr>
                <w:sz w:val="28"/>
                <w:szCs w:val="28"/>
                <w:lang w:val="en-US"/>
              </w:rPr>
            </w:pPr>
            <w:r w:rsidRPr="009C4DC6">
              <w:rPr>
                <w:sz w:val="28"/>
                <w:szCs w:val="28"/>
                <w:lang w:val="en-US"/>
              </w:rPr>
              <w:t xml:space="preserve">Dividend per preferred share* </w:t>
            </w:r>
          </w:p>
        </w:tc>
        <w:tc>
          <w:tcPr>
            <w:tcW w:w="1843" w:type="dxa"/>
          </w:tcPr>
          <w:p w:rsidR="00A10CB1" w:rsidRPr="009C4DC6" w:rsidRDefault="00A10CB1" w:rsidP="00A10CB1">
            <w:pPr>
              <w:spacing w:after="40" w:line="240" w:lineRule="auto"/>
              <w:jc w:val="right"/>
              <w:rPr>
                <w:sz w:val="28"/>
                <w:szCs w:val="28"/>
                <w:lang w:val="en-US"/>
              </w:rPr>
            </w:pPr>
            <w:r w:rsidRPr="009C4DC6">
              <w:rPr>
                <w:sz w:val="28"/>
                <w:szCs w:val="28"/>
                <w:lang w:val="en-US"/>
              </w:rPr>
              <w:t>2</w:t>
            </w:r>
          </w:p>
        </w:tc>
        <w:tc>
          <w:tcPr>
            <w:tcW w:w="2120" w:type="dxa"/>
          </w:tcPr>
          <w:p w:rsidR="00A10CB1" w:rsidRPr="009C4DC6" w:rsidRDefault="00043777" w:rsidP="00A10CB1">
            <w:pPr>
              <w:spacing w:after="40" w:line="240" w:lineRule="auto"/>
              <w:jc w:val="right"/>
              <w:rPr>
                <w:sz w:val="28"/>
                <w:szCs w:val="28"/>
                <w:lang w:val="en-US"/>
              </w:rPr>
            </w:pPr>
            <w:r>
              <w:rPr>
                <w:sz w:val="28"/>
                <w:szCs w:val="28"/>
                <w:lang w:val="en-US"/>
              </w:rPr>
              <w:t>13,4682</w:t>
            </w:r>
          </w:p>
        </w:tc>
      </w:tr>
      <w:tr w:rsidR="00A10CB1" w:rsidRPr="009C4DC6" w:rsidTr="00A10CB1">
        <w:tc>
          <w:tcPr>
            <w:tcW w:w="5382" w:type="dxa"/>
          </w:tcPr>
          <w:p w:rsidR="00A10CB1" w:rsidRPr="009C4DC6" w:rsidRDefault="00A10CB1" w:rsidP="00A10CB1">
            <w:pPr>
              <w:spacing w:after="40" w:line="240" w:lineRule="auto"/>
              <w:jc w:val="both"/>
              <w:rPr>
                <w:sz w:val="28"/>
                <w:szCs w:val="28"/>
                <w:lang w:val="en-US"/>
              </w:rPr>
            </w:pPr>
            <w:r w:rsidRPr="009C4DC6">
              <w:rPr>
                <w:sz w:val="28"/>
                <w:szCs w:val="28"/>
                <w:lang w:val="en-US"/>
              </w:rPr>
              <w:t>Number of preferred shares</w:t>
            </w:r>
          </w:p>
        </w:tc>
        <w:tc>
          <w:tcPr>
            <w:tcW w:w="1843" w:type="dxa"/>
          </w:tcPr>
          <w:p w:rsidR="00A10CB1" w:rsidRPr="009C4DC6" w:rsidRDefault="00A10CB1" w:rsidP="00A10CB1">
            <w:pPr>
              <w:spacing w:after="40" w:line="240" w:lineRule="auto"/>
              <w:jc w:val="right"/>
              <w:rPr>
                <w:sz w:val="28"/>
                <w:szCs w:val="28"/>
                <w:lang w:val="en-US"/>
              </w:rPr>
            </w:pPr>
            <w:r w:rsidRPr="009C4DC6">
              <w:rPr>
                <w:sz w:val="28"/>
                <w:szCs w:val="28"/>
                <w:lang w:val="en-US"/>
              </w:rPr>
              <w:t>3</w:t>
            </w:r>
          </w:p>
        </w:tc>
        <w:tc>
          <w:tcPr>
            <w:tcW w:w="2120" w:type="dxa"/>
          </w:tcPr>
          <w:p w:rsidR="00A10CB1" w:rsidRPr="009C4DC6" w:rsidRDefault="00043777" w:rsidP="00A10CB1">
            <w:pPr>
              <w:spacing w:after="40" w:line="240" w:lineRule="auto"/>
              <w:jc w:val="right"/>
              <w:rPr>
                <w:sz w:val="28"/>
                <w:szCs w:val="28"/>
                <w:lang w:val="en-US"/>
              </w:rPr>
            </w:pPr>
            <w:r>
              <w:rPr>
                <w:sz w:val="28"/>
                <w:szCs w:val="28"/>
                <w:lang w:val="en-US"/>
              </w:rPr>
              <w:t>93,264,311.00</w:t>
            </w:r>
          </w:p>
        </w:tc>
      </w:tr>
      <w:tr w:rsidR="00A10CB1" w:rsidRPr="009C4DC6" w:rsidTr="00A10CB1">
        <w:tc>
          <w:tcPr>
            <w:tcW w:w="5382" w:type="dxa"/>
          </w:tcPr>
          <w:p w:rsidR="00A10CB1" w:rsidRPr="009C4DC6" w:rsidRDefault="00A10CB1" w:rsidP="00A10CB1">
            <w:pPr>
              <w:spacing w:after="40" w:line="240" w:lineRule="auto"/>
              <w:jc w:val="both"/>
              <w:rPr>
                <w:sz w:val="28"/>
                <w:szCs w:val="28"/>
                <w:lang w:val="en-US"/>
              </w:rPr>
            </w:pPr>
            <w:r w:rsidRPr="009C4DC6">
              <w:rPr>
                <w:sz w:val="28"/>
                <w:szCs w:val="28"/>
                <w:lang w:val="en-US"/>
              </w:rPr>
              <w:t>Total preferred stock dividend</w:t>
            </w:r>
          </w:p>
        </w:tc>
        <w:tc>
          <w:tcPr>
            <w:tcW w:w="1843" w:type="dxa"/>
          </w:tcPr>
          <w:p w:rsidR="00A10CB1" w:rsidRPr="009C4DC6" w:rsidRDefault="00A10CB1" w:rsidP="00A10CB1">
            <w:pPr>
              <w:spacing w:after="40" w:line="240" w:lineRule="auto"/>
              <w:jc w:val="right"/>
              <w:rPr>
                <w:sz w:val="28"/>
                <w:szCs w:val="28"/>
                <w:lang w:val="en-US"/>
              </w:rPr>
            </w:pPr>
            <w:r w:rsidRPr="009C4DC6">
              <w:rPr>
                <w:sz w:val="28"/>
                <w:szCs w:val="28"/>
                <w:lang w:val="en-US"/>
              </w:rPr>
              <w:t>4=2*3</w:t>
            </w:r>
          </w:p>
        </w:tc>
        <w:tc>
          <w:tcPr>
            <w:tcW w:w="2120" w:type="dxa"/>
          </w:tcPr>
          <w:p w:rsidR="00A10CB1" w:rsidRPr="009C4DC6" w:rsidRDefault="00043777" w:rsidP="00A10CB1">
            <w:pPr>
              <w:spacing w:after="40" w:line="240" w:lineRule="auto"/>
              <w:jc w:val="right"/>
              <w:rPr>
                <w:sz w:val="28"/>
                <w:szCs w:val="28"/>
                <w:lang w:val="en-US"/>
              </w:rPr>
            </w:pPr>
            <w:r>
              <w:rPr>
                <w:sz w:val="28"/>
                <w:szCs w:val="28"/>
                <w:lang w:val="en-US"/>
              </w:rPr>
              <w:t>1,256,102,393.41</w:t>
            </w:r>
          </w:p>
        </w:tc>
      </w:tr>
    </w:tbl>
    <w:p w:rsidR="00832582" w:rsidRPr="009C4DC6" w:rsidRDefault="00A10CB1" w:rsidP="006853CA">
      <w:pPr>
        <w:spacing w:after="120" w:line="240" w:lineRule="auto"/>
        <w:jc w:val="both"/>
        <w:rPr>
          <w:sz w:val="28"/>
          <w:szCs w:val="28"/>
          <w:lang w:val="en-US"/>
        </w:rPr>
      </w:pPr>
      <w:r w:rsidRPr="009C4DC6">
        <w:rPr>
          <w:sz w:val="28"/>
          <w:szCs w:val="28"/>
          <w:lang w:val="en-US"/>
        </w:rPr>
        <w:t>* Figure rounded up to the fourth decimal point</w:t>
      </w:r>
    </w:p>
    <w:sectPr w:rsidR="00832582" w:rsidRPr="009C4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2752"/>
    <w:multiLevelType w:val="hybridMultilevel"/>
    <w:tmpl w:val="51F473D0"/>
    <w:lvl w:ilvl="0" w:tplc="AAD41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03EC0"/>
    <w:multiLevelType w:val="hybridMultilevel"/>
    <w:tmpl w:val="2B8264A2"/>
    <w:lvl w:ilvl="0" w:tplc="D17CF93A">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423CE"/>
    <w:multiLevelType w:val="hybridMultilevel"/>
    <w:tmpl w:val="84BE0248"/>
    <w:lvl w:ilvl="0" w:tplc="AAD41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B"/>
    <w:rsid w:val="00043777"/>
    <w:rsid w:val="001D10D1"/>
    <w:rsid w:val="00267388"/>
    <w:rsid w:val="00346AF3"/>
    <w:rsid w:val="00507BFC"/>
    <w:rsid w:val="005B6394"/>
    <w:rsid w:val="006853CA"/>
    <w:rsid w:val="00747028"/>
    <w:rsid w:val="007671CB"/>
    <w:rsid w:val="007708B7"/>
    <w:rsid w:val="007B0BFA"/>
    <w:rsid w:val="00832582"/>
    <w:rsid w:val="008D1C50"/>
    <w:rsid w:val="009A417D"/>
    <w:rsid w:val="009C4DC6"/>
    <w:rsid w:val="00A10CB1"/>
    <w:rsid w:val="00A15B99"/>
    <w:rsid w:val="00AE1AEE"/>
    <w:rsid w:val="00DC1257"/>
    <w:rsid w:val="00EF4A10"/>
    <w:rsid w:val="00F14345"/>
    <w:rsid w:val="00FE0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82514-9FCD-4152-B7FC-BF70BB86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0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345"/>
    <w:pPr>
      <w:ind w:left="720"/>
      <w:contextualSpacing/>
    </w:pPr>
  </w:style>
  <w:style w:type="table" w:styleId="a4">
    <w:name w:val="Table Grid"/>
    <w:basedOn w:val="a1"/>
    <w:uiPriority w:val="39"/>
    <w:rsid w:val="00A1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obazhenova</dc:creator>
  <cp:keywords/>
  <dc:description/>
  <cp:lastModifiedBy>Валентин Сучков</cp:lastModifiedBy>
  <cp:revision>12</cp:revision>
  <dcterms:created xsi:type="dcterms:W3CDTF">2022-03-02T09:05:00Z</dcterms:created>
  <dcterms:modified xsi:type="dcterms:W3CDTF">2022-03-02T10:42:00Z</dcterms:modified>
</cp:coreProperties>
</file>